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13" w:rsidRDefault="00A27113"/>
    <w:p w:rsidR="00225FDB" w:rsidRDefault="00225FDB">
      <w:r>
        <w:t xml:space="preserve">NFA </w:t>
      </w:r>
      <w:r w:rsidR="007C0E76">
        <w:t>–</w:t>
      </w:r>
      <w:r>
        <w:t xml:space="preserve"> Principals</w:t>
      </w:r>
    </w:p>
    <w:p w:rsidR="007C0E76" w:rsidRDefault="007C0E76">
      <w:hyperlink r:id="rId5" w:history="1">
        <w:r w:rsidRPr="00681DA6">
          <w:rPr>
            <w:rStyle w:val="Hyperlink"/>
          </w:rPr>
          <w:t>http://www.nfa.futures.org/nfa-faqs/registration_faqs/general-registration-questions/index.HTML#q4</w:t>
        </w:r>
      </w:hyperlink>
      <w:r>
        <w:t xml:space="preserve"> </w:t>
      </w:r>
    </w:p>
    <w:p w:rsidR="00225FDB" w:rsidRPr="00225FDB" w:rsidRDefault="00225FDB" w:rsidP="00225FDB">
      <w:pPr>
        <w:spacing w:before="100" w:beforeAutospacing="1" w:after="100" w:afterAutospacing="1"/>
        <w:contextualSpacing w:val="0"/>
        <w:rPr>
          <w:rFonts w:ascii="Times New Roman" w:eastAsia="Times New Roman" w:hAnsi="Times New Roman" w:cs="Times New Roman"/>
          <w:lang w:val="en"/>
        </w:rPr>
      </w:pPr>
      <w:r w:rsidRPr="00225FDB">
        <w:rPr>
          <w:rFonts w:ascii="Times New Roman" w:eastAsia="Times New Roman" w:hAnsi="Times New Roman" w:cs="Times New Roman"/>
          <w:b/>
          <w:bCs/>
          <w:lang w:val="en"/>
        </w:rPr>
        <w:t>4. Which individuals are considered principals?</w:t>
      </w:r>
    </w:p>
    <w:p w:rsidR="007C0E76" w:rsidRDefault="00225FDB" w:rsidP="00225FDB">
      <w:pPr>
        <w:spacing w:before="100" w:beforeAutospacing="1" w:after="100" w:afterAutospacing="1"/>
        <w:contextualSpacing w:val="0"/>
        <w:rPr>
          <w:rFonts w:ascii="Times New Roman" w:eastAsia="Times New Roman" w:hAnsi="Times New Roman" w:cs="Times New Roman"/>
          <w:lang w:val="en"/>
        </w:rPr>
      </w:pPr>
      <w:r w:rsidRPr="00225FDB">
        <w:rPr>
          <w:rFonts w:ascii="Times New Roman" w:eastAsia="Times New Roman" w:hAnsi="Times New Roman" w:cs="Times New Roman"/>
          <w:lang w:val="en"/>
        </w:rPr>
        <w:t>An individual's status as a principal is determined by the individual's</w:t>
      </w:r>
      <w:bookmarkStart w:id="0" w:name="_GoBack"/>
      <w:bookmarkEnd w:id="0"/>
    </w:p>
    <w:p w:rsidR="007C0E76" w:rsidRDefault="00225FDB" w:rsidP="00225FDB">
      <w:pPr>
        <w:spacing w:before="100" w:beforeAutospacing="1" w:after="100" w:afterAutospacing="1"/>
        <w:contextualSpacing w:val="0"/>
        <w:rPr>
          <w:rFonts w:ascii="Times New Roman" w:eastAsia="Times New Roman" w:hAnsi="Times New Roman" w:cs="Times New Roman"/>
          <w:lang w:val="en"/>
        </w:rPr>
      </w:pPr>
      <w:r w:rsidRPr="00225FDB">
        <w:rPr>
          <w:rFonts w:ascii="Times New Roman" w:eastAsia="Times New Roman" w:hAnsi="Times New Roman" w:cs="Times New Roman"/>
          <w:lang w:val="en"/>
        </w:rPr>
        <w:t xml:space="preserve"> 1) </w:t>
      </w:r>
      <w:proofErr w:type="gramStart"/>
      <w:r w:rsidRPr="00225FDB">
        <w:rPr>
          <w:rFonts w:ascii="Times New Roman" w:eastAsia="Times New Roman" w:hAnsi="Times New Roman" w:cs="Times New Roman"/>
          <w:lang w:val="en"/>
        </w:rPr>
        <w:t>ability</w:t>
      </w:r>
      <w:proofErr w:type="gramEnd"/>
      <w:r w:rsidRPr="00225FDB">
        <w:rPr>
          <w:rFonts w:ascii="Times New Roman" w:eastAsia="Times New Roman" w:hAnsi="Times New Roman" w:cs="Times New Roman"/>
          <w:lang w:val="en"/>
        </w:rPr>
        <w:t xml:space="preserve"> to control a registrant's business activities; </w:t>
      </w:r>
    </w:p>
    <w:p w:rsidR="007C0E76" w:rsidRDefault="00225FDB" w:rsidP="00225FDB">
      <w:pPr>
        <w:spacing w:before="100" w:beforeAutospacing="1" w:after="100" w:afterAutospacing="1"/>
        <w:contextualSpacing w:val="0"/>
        <w:rPr>
          <w:rFonts w:ascii="Times New Roman" w:eastAsia="Times New Roman" w:hAnsi="Times New Roman" w:cs="Times New Roman"/>
          <w:lang w:val="en"/>
        </w:rPr>
      </w:pPr>
      <w:r w:rsidRPr="00225FDB">
        <w:rPr>
          <w:rFonts w:ascii="Times New Roman" w:eastAsia="Times New Roman" w:hAnsi="Times New Roman" w:cs="Times New Roman"/>
          <w:lang w:val="en"/>
        </w:rPr>
        <w:t xml:space="preserve">2) </w:t>
      </w:r>
      <w:proofErr w:type="gramStart"/>
      <w:r w:rsidRPr="00225FDB">
        <w:rPr>
          <w:rFonts w:ascii="Times New Roman" w:eastAsia="Times New Roman" w:hAnsi="Times New Roman" w:cs="Times New Roman"/>
          <w:lang w:val="en"/>
        </w:rPr>
        <w:t>formal</w:t>
      </w:r>
      <w:proofErr w:type="gramEnd"/>
      <w:r w:rsidRPr="00225FDB">
        <w:rPr>
          <w:rFonts w:ascii="Times New Roman" w:eastAsia="Times New Roman" w:hAnsi="Times New Roman" w:cs="Times New Roman"/>
          <w:lang w:val="en"/>
        </w:rPr>
        <w:t xml:space="preserve"> title or position with the registrant; and </w:t>
      </w:r>
    </w:p>
    <w:p w:rsidR="007C0E76" w:rsidRDefault="00225FDB" w:rsidP="00225FDB">
      <w:pPr>
        <w:spacing w:before="100" w:beforeAutospacing="1" w:after="100" w:afterAutospacing="1"/>
        <w:contextualSpacing w:val="0"/>
        <w:rPr>
          <w:rFonts w:ascii="Times New Roman" w:eastAsia="Times New Roman" w:hAnsi="Times New Roman" w:cs="Times New Roman"/>
          <w:lang w:val="en"/>
        </w:rPr>
      </w:pPr>
      <w:r w:rsidRPr="00225FDB">
        <w:rPr>
          <w:rFonts w:ascii="Times New Roman" w:eastAsia="Times New Roman" w:hAnsi="Times New Roman" w:cs="Times New Roman"/>
          <w:lang w:val="en"/>
        </w:rPr>
        <w:t xml:space="preserve">3) </w:t>
      </w:r>
      <w:proofErr w:type="gramStart"/>
      <w:r w:rsidRPr="00225FDB">
        <w:rPr>
          <w:rFonts w:ascii="Times New Roman" w:eastAsia="Times New Roman" w:hAnsi="Times New Roman" w:cs="Times New Roman"/>
          <w:lang w:val="en"/>
        </w:rPr>
        <w:t>financial</w:t>
      </w:r>
      <w:proofErr w:type="gramEnd"/>
      <w:r w:rsidRPr="00225FDB">
        <w:rPr>
          <w:rFonts w:ascii="Times New Roman" w:eastAsia="Times New Roman" w:hAnsi="Times New Roman" w:cs="Times New Roman"/>
          <w:lang w:val="en"/>
        </w:rPr>
        <w:t xml:space="preserve"> or ownership interest in the registrant. </w:t>
      </w:r>
    </w:p>
    <w:p w:rsidR="00225FDB" w:rsidRPr="00225FDB" w:rsidRDefault="007C0E76" w:rsidP="00225FDB">
      <w:pPr>
        <w:spacing w:before="100" w:beforeAutospacing="1" w:after="100" w:afterAutospacing="1"/>
        <w:contextualSpacing w:val="0"/>
        <w:rPr>
          <w:rFonts w:ascii="Times New Roman" w:eastAsia="Times New Roman" w:hAnsi="Times New Roman" w:cs="Times New Roman"/>
          <w:lang w:val="en"/>
        </w:rPr>
      </w:pPr>
      <w:r>
        <w:rPr>
          <w:rFonts w:ascii="Times New Roman" w:eastAsia="Times New Roman" w:hAnsi="Times New Roman" w:cs="Times New Roman"/>
          <w:lang w:val="en"/>
        </w:rPr>
        <w:t xml:space="preserve">[4]- Control - </w:t>
      </w:r>
      <w:r w:rsidR="00225FDB" w:rsidRPr="00225FDB">
        <w:rPr>
          <w:rFonts w:ascii="Times New Roman" w:eastAsia="Times New Roman" w:hAnsi="Times New Roman" w:cs="Times New Roman"/>
          <w:lang w:val="en"/>
        </w:rPr>
        <w:t xml:space="preserve">Individuals who, through their conduct or activity, directly or indirectly control a registrant are principals of the registrant, irrespective of their formal title or financial interest in the registrant. Similarly, individuals who hold specific positions or titles with registrants are also principals of the registrant, irrespective of their ability to control the registrant's business. More information can be found at </w:t>
      </w:r>
      <w:hyperlink r:id="rId6" w:history="1">
        <w:r w:rsidR="00225FDB" w:rsidRPr="00225FDB">
          <w:rPr>
            <w:rFonts w:ascii="Times New Roman" w:eastAsia="Times New Roman" w:hAnsi="Times New Roman" w:cs="Times New Roman"/>
            <w:color w:val="0000FF"/>
            <w:u w:val="single"/>
            <w:lang w:val="en"/>
          </w:rPr>
          <w:t>Principal</w:t>
        </w:r>
      </w:hyperlink>
      <w:r w:rsidR="00225FDB" w:rsidRPr="00225FDB">
        <w:rPr>
          <w:rFonts w:ascii="Times New Roman" w:eastAsia="Times New Roman" w:hAnsi="Times New Roman" w:cs="Times New Roman"/>
          <w:lang w:val="en"/>
        </w:rPr>
        <w:t xml:space="preserve"> under the registration menu. </w:t>
      </w:r>
    </w:p>
    <w:p w:rsidR="00225FDB" w:rsidRPr="00225FDB" w:rsidRDefault="00225FDB" w:rsidP="00225FDB">
      <w:pPr>
        <w:spacing w:before="100" w:beforeAutospacing="1" w:after="100" w:afterAutospacing="1"/>
        <w:contextualSpacing w:val="0"/>
        <w:rPr>
          <w:rFonts w:ascii="Times New Roman" w:eastAsia="Times New Roman" w:hAnsi="Times New Roman" w:cs="Times New Roman"/>
          <w:lang w:val="en"/>
        </w:rPr>
      </w:pPr>
      <w:hyperlink r:id="rId7" w:history="1">
        <w:r w:rsidRPr="00225FDB">
          <w:rPr>
            <w:rFonts w:ascii="Times New Roman" w:eastAsia="Times New Roman" w:hAnsi="Times New Roman" w:cs="Times New Roman"/>
            <w:color w:val="0000FF"/>
            <w:u w:val="single"/>
            <w:lang w:val="en"/>
          </w:rPr>
          <w:t>Back to the Top</w:t>
        </w:r>
      </w:hyperlink>
    </w:p>
    <w:p w:rsidR="00225FDB" w:rsidRPr="00225FDB" w:rsidRDefault="00225FDB" w:rsidP="00225FDB">
      <w:pPr>
        <w:contextualSpacing w:val="0"/>
        <w:rPr>
          <w:rFonts w:ascii="Times New Roman" w:eastAsia="Times New Roman" w:hAnsi="Times New Roman" w:cs="Times New Roman"/>
          <w:lang w:val="en"/>
        </w:rPr>
      </w:pPr>
      <w:hyperlink r:id="rId8" w:history="1">
        <w:r w:rsidRPr="00225FDB">
          <w:rPr>
            <w:rFonts w:ascii="Times New Roman" w:eastAsia="Times New Roman" w:hAnsi="Times New Roman" w:cs="Times New Roman"/>
            <w:color w:val="0000FF"/>
            <w:u w:val="single"/>
            <w:lang w:val="en"/>
          </w:rPr>
          <w:t>Which individuals are considered principals?</w:t>
        </w:r>
      </w:hyperlink>
      <w:bookmarkStart w:id="1" w:name="q5"/>
      <w:bookmarkEnd w:id="1"/>
    </w:p>
    <w:p w:rsidR="00225FDB" w:rsidRPr="00225FDB" w:rsidRDefault="00225FDB" w:rsidP="00225FDB">
      <w:pPr>
        <w:spacing w:before="100" w:beforeAutospacing="1" w:after="100" w:afterAutospacing="1"/>
        <w:contextualSpacing w:val="0"/>
        <w:rPr>
          <w:rFonts w:ascii="Times New Roman" w:eastAsia="Times New Roman" w:hAnsi="Times New Roman" w:cs="Times New Roman"/>
          <w:lang w:val="en"/>
        </w:rPr>
      </w:pPr>
      <w:r w:rsidRPr="00225FDB">
        <w:rPr>
          <w:rFonts w:ascii="Times New Roman" w:eastAsia="Times New Roman" w:hAnsi="Times New Roman" w:cs="Times New Roman"/>
          <w:b/>
          <w:bCs/>
          <w:lang w:val="en"/>
        </w:rPr>
        <w:t>5. Which companies are considered principals?</w:t>
      </w:r>
    </w:p>
    <w:p w:rsidR="00225FDB" w:rsidRPr="00225FDB" w:rsidRDefault="00225FDB" w:rsidP="00225FDB">
      <w:pPr>
        <w:spacing w:before="100" w:beforeAutospacing="1" w:after="100" w:afterAutospacing="1"/>
        <w:contextualSpacing w:val="0"/>
        <w:rPr>
          <w:rFonts w:ascii="Times New Roman" w:eastAsia="Times New Roman" w:hAnsi="Times New Roman" w:cs="Times New Roman"/>
          <w:lang w:val="en"/>
        </w:rPr>
      </w:pPr>
      <w:r w:rsidRPr="00225FDB">
        <w:rPr>
          <w:rFonts w:ascii="Times New Roman" w:eastAsia="Times New Roman" w:hAnsi="Times New Roman" w:cs="Times New Roman"/>
          <w:lang w:val="en"/>
        </w:rPr>
        <w:t xml:space="preserve">A company is a principal either because it is a general partner of a partnership or based on its ownership or financial stake in a registrant. Unlike individuals, a company's status as a principal based on ownership or capital contribution is determined solely by its direct relationship with the registrant. Holding companies that directly own 10% or more of a class of a registrant's stock or directly contribute 10% of a registrant's capital are principals of the registrant. In contrast, a holding company that indirectly owns a registrant's stock or contributes capital is not a principal. More information can be found at </w:t>
      </w:r>
      <w:hyperlink r:id="rId9" w:history="1">
        <w:r w:rsidRPr="00225FDB">
          <w:rPr>
            <w:rFonts w:ascii="Times New Roman" w:eastAsia="Times New Roman" w:hAnsi="Times New Roman" w:cs="Times New Roman"/>
            <w:color w:val="0000FF"/>
            <w:u w:val="single"/>
            <w:lang w:val="en"/>
          </w:rPr>
          <w:t>Principal</w:t>
        </w:r>
      </w:hyperlink>
      <w:r w:rsidRPr="00225FDB">
        <w:rPr>
          <w:rFonts w:ascii="Times New Roman" w:eastAsia="Times New Roman" w:hAnsi="Times New Roman" w:cs="Times New Roman"/>
          <w:lang w:val="en"/>
        </w:rPr>
        <w:t xml:space="preserve"> under the registration menu.</w:t>
      </w:r>
    </w:p>
    <w:p w:rsidR="00225FDB" w:rsidRPr="00225FDB" w:rsidRDefault="00225FDB" w:rsidP="00225FDB">
      <w:pPr>
        <w:spacing w:before="100" w:beforeAutospacing="1" w:after="100" w:afterAutospacing="1"/>
        <w:contextualSpacing w:val="0"/>
        <w:rPr>
          <w:rFonts w:ascii="Times New Roman" w:eastAsia="Times New Roman" w:hAnsi="Times New Roman" w:cs="Times New Roman"/>
          <w:lang w:val="en"/>
        </w:rPr>
      </w:pPr>
      <w:hyperlink r:id="rId10" w:history="1">
        <w:r w:rsidRPr="00225FDB">
          <w:rPr>
            <w:rFonts w:ascii="Times New Roman" w:eastAsia="Times New Roman" w:hAnsi="Times New Roman" w:cs="Times New Roman"/>
            <w:color w:val="0000FF"/>
            <w:u w:val="single"/>
            <w:lang w:val="en"/>
          </w:rPr>
          <w:t>Back to the Top</w:t>
        </w:r>
      </w:hyperlink>
    </w:p>
    <w:p w:rsidR="00225FDB" w:rsidRPr="00225FDB" w:rsidRDefault="00225FDB" w:rsidP="00225FDB">
      <w:pPr>
        <w:contextualSpacing w:val="0"/>
        <w:rPr>
          <w:rFonts w:ascii="Times New Roman" w:eastAsia="Times New Roman" w:hAnsi="Times New Roman" w:cs="Times New Roman"/>
          <w:lang w:val="en"/>
        </w:rPr>
      </w:pPr>
      <w:hyperlink r:id="rId11" w:history="1">
        <w:r w:rsidRPr="00225FDB">
          <w:rPr>
            <w:rFonts w:ascii="Times New Roman" w:eastAsia="Times New Roman" w:hAnsi="Times New Roman" w:cs="Times New Roman"/>
            <w:color w:val="0000FF"/>
            <w:u w:val="single"/>
            <w:lang w:val="en"/>
          </w:rPr>
          <w:t>Which companies are considered principals?</w:t>
        </w:r>
      </w:hyperlink>
      <w:bookmarkStart w:id="2" w:name="q6"/>
      <w:bookmarkEnd w:id="2"/>
    </w:p>
    <w:p w:rsidR="00225FDB" w:rsidRPr="00225FDB" w:rsidRDefault="00225FDB" w:rsidP="00225FDB">
      <w:pPr>
        <w:spacing w:before="100" w:beforeAutospacing="1" w:after="100" w:afterAutospacing="1"/>
        <w:contextualSpacing w:val="0"/>
        <w:rPr>
          <w:rFonts w:ascii="Times New Roman" w:eastAsia="Times New Roman" w:hAnsi="Times New Roman" w:cs="Times New Roman"/>
          <w:lang w:val="en"/>
        </w:rPr>
      </w:pPr>
      <w:r w:rsidRPr="00225FDB">
        <w:rPr>
          <w:rFonts w:ascii="Times New Roman" w:eastAsia="Times New Roman" w:hAnsi="Times New Roman" w:cs="Times New Roman"/>
          <w:b/>
          <w:bCs/>
          <w:lang w:val="en"/>
        </w:rPr>
        <w:t>6. Which individual principals should also be registered as APs?</w:t>
      </w:r>
    </w:p>
    <w:p w:rsidR="00225FDB" w:rsidRPr="00225FDB" w:rsidRDefault="00225FDB" w:rsidP="00225FDB">
      <w:pPr>
        <w:spacing w:before="100" w:beforeAutospacing="1" w:after="100" w:afterAutospacing="1"/>
        <w:contextualSpacing w:val="0"/>
        <w:rPr>
          <w:rFonts w:ascii="Times New Roman" w:eastAsia="Times New Roman" w:hAnsi="Times New Roman" w:cs="Times New Roman"/>
          <w:lang w:val="en"/>
        </w:rPr>
      </w:pPr>
      <w:hyperlink r:id="rId12" w:tgtFrame="_blank" w:history="1">
        <w:r w:rsidRPr="00225FDB">
          <w:rPr>
            <w:rFonts w:ascii="Times New Roman" w:eastAsia="Times New Roman" w:hAnsi="Times New Roman" w:cs="Times New Roman"/>
            <w:color w:val="0000FF"/>
            <w:u w:val="single"/>
            <w:lang w:val="en"/>
          </w:rPr>
          <w:t>Section 4k of the Commodity Exchange Act</w:t>
        </w:r>
      </w:hyperlink>
      <w:r w:rsidRPr="00225FDB">
        <w:rPr>
          <w:rFonts w:ascii="Times New Roman" w:eastAsia="Times New Roman" w:hAnsi="Times New Roman" w:cs="Times New Roman"/>
          <w:lang w:val="en"/>
        </w:rPr>
        <w:t xml:space="preserve"> provides that an individual must be registered as an AP if that person is involved in soliciting or accepting customer orders or supervising people who do, and the Commission has indicated that any individual who supervises APs must register as an AP, regardless of that person's title.</w:t>
      </w:r>
    </w:p>
    <w:p w:rsidR="00225FDB" w:rsidRPr="00225FDB" w:rsidRDefault="00225FDB" w:rsidP="00225FDB">
      <w:pPr>
        <w:spacing w:before="100" w:beforeAutospacing="1" w:after="100" w:afterAutospacing="1"/>
        <w:contextualSpacing w:val="0"/>
        <w:rPr>
          <w:rFonts w:ascii="Times New Roman" w:eastAsia="Times New Roman" w:hAnsi="Times New Roman" w:cs="Times New Roman"/>
          <w:lang w:val="en"/>
        </w:rPr>
      </w:pPr>
      <w:hyperlink r:id="rId13" w:history="1">
        <w:r w:rsidRPr="00225FDB">
          <w:rPr>
            <w:rFonts w:ascii="Times New Roman" w:eastAsia="Times New Roman" w:hAnsi="Times New Roman" w:cs="Times New Roman"/>
            <w:color w:val="0000FF"/>
            <w:u w:val="single"/>
            <w:lang w:val="en"/>
          </w:rPr>
          <w:t>NFA Bylaw 301(a</w:t>
        </w:r>
        <w:proofErr w:type="gramStart"/>
        <w:r w:rsidRPr="00225FDB">
          <w:rPr>
            <w:rFonts w:ascii="Times New Roman" w:eastAsia="Times New Roman" w:hAnsi="Times New Roman" w:cs="Times New Roman"/>
            <w:color w:val="0000FF"/>
            <w:u w:val="single"/>
            <w:lang w:val="en"/>
          </w:rPr>
          <w:t>)(</w:t>
        </w:r>
        <w:proofErr w:type="gramEnd"/>
        <w:r w:rsidRPr="00225FDB">
          <w:rPr>
            <w:rFonts w:ascii="Times New Roman" w:eastAsia="Times New Roman" w:hAnsi="Times New Roman" w:cs="Times New Roman"/>
            <w:color w:val="0000FF"/>
            <w:u w:val="single"/>
            <w:lang w:val="en"/>
          </w:rPr>
          <w:t>iii)</w:t>
        </w:r>
      </w:hyperlink>
      <w:r w:rsidRPr="00225FDB">
        <w:rPr>
          <w:rFonts w:ascii="Times New Roman" w:eastAsia="Times New Roman" w:hAnsi="Times New Roman" w:cs="Times New Roman"/>
          <w:lang w:val="en"/>
        </w:rPr>
        <w:t xml:space="preserve"> states that "no person, unless eligible for membership in the contract market category, shall be eligible to become or remain a Member unless at least one of its principals is registered as an 'associated person' under the Act and Commission Rules. If any Member fails to have at least one principal that is registered as an 'associated person' NFA shall deem that Member's failure to be a request to withdraw from NFA membership and shall notify that Member accordingly."</w:t>
      </w:r>
    </w:p>
    <w:p w:rsidR="00225FDB" w:rsidRDefault="00225FDB"/>
    <w:sectPr w:rsidR="00225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DB"/>
    <w:rsid w:val="00225FDB"/>
    <w:rsid w:val="004043A8"/>
    <w:rsid w:val="007C0E76"/>
    <w:rsid w:val="00A27113"/>
    <w:rsid w:val="00C068C0"/>
    <w:rsid w:val="00C2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FDB"/>
    <w:pPr>
      <w:spacing w:before="100" w:beforeAutospacing="1" w:after="100" w:afterAutospacing="1"/>
      <w:contextualSpacing w:val="0"/>
    </w:pPr>
    <w:rPr>
      <w:rFonts w:ascii="Times New Roman" w:eastAsia="Times New Roman" w:hAnsi="Times New Roman" w:cs="Times New Roman"/>
    </w:rPr>
  </w:style>
  <w:style w:type="character" w:styleId="Strong">
    <w:name w:val="Strong"/>
    <w:basedOn w:val="DefaultParagraphFont"/>
    <w:uiPriority w:val="22"/>
    <w:qFormat/>
    <w:rsid w:val="00225FDB"/>
    <w:rPr>
      <w:b/>
      <w:bCs/>
    </w:rPr>
  </w:style>
  <w:style w:type="character" w:styleId="Hyperlink">
    <w:name w:val="Hyperlink"/>
    <w:basedOn w:val="DefaultParagraphFont"/>
    <w:uiPriority w:val="99"/>
    <w:unhideWhenUsed/>
    <w:rsid w:val="00225F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FDB"/>
    <w:pPr>
      <w:spacing w:before="100" w:beforeAutospacing="1" w:after="100" w:afterAutospacing="1"/>
      <w:contextualSpacing w:val="0"/>
    </w:pPr>
    <w:rPr>
      <w:rFonts w:ascii="Times New Roman" w:eastAsia="Times New Roman" w:hAnsi="Times New Roman" w:cs="Times New Roman"/>
    </w:rPr>
  </w:style>
  <w:style w:type="character" w:styleId="Strong">
    <w:name w:val="Strong"/>
    <w:basedOn w:val="DefaultParagraphFont"/>
    <w:uiPriority w:val="22"/>
    <w:qFormat/>
    <w:rsid w:val="00225FDB"/>
    <w:rPr>
      <w:b/>
      <w:bCs/>
    </w:rPr>
  </w:style>
  <w:style w:type="character" w:styleId="Hyperlink">
    <w:name w:val="Hyperlink"/>
    <w:basedOn w:val="DefaultParagraphFont"/>
    <w:uiPriority w:val="99"/>
    <w:unhideWhenUsed/>
    <w:rsid w:val="00225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27352">
      <w:bodyDiv w:val="1"/>
      <w:marLeft w:val="0"/>
      <w:marRight w:val="0"/>
      <w:marTop w:val="0"/>
      <w:marBottom w:val="0"/>
      <w:divBdr>
        <w:top w:val="none" w:sz="0" w:space="0" w:color="auto"/>
        <w:left w:val="none" w:sz="0" w:space="0" w:color="auto"/>
        <w:bottom w:val="none" w:sz="0" w:space="0" w:color="auto"/>
        <w:right w:val="none" w:sz="0" w:space="0" w:color="auto"/>
      </w:divBdr>
      <w:divsChild>
        <w:div w:id="1681195171">
          <w:marLeft w:val="0"/>
          <w:marRight w:val="0"/>
          <w:marTop w:val="0"/>
          <w:marBottom w:val="0"/>
          <w:divBdr>
            <w:top w:val="none" w:sz="0" w:space="0" w:color="auto"/>
            <w:left w:val="none" w:sz="0" w:space="0" w:color="auto"/>
            <w:bottom w:val="none" w:sz="0" w:space="0" w:color="auto"/>
            <w:right w:val="none" w:sz="0" w:space="0" w:color="auto"/>
          </w:divBdr>
          <w:divsChild>
            <w:div w:id="378357290">
              <w:marLeft w:val="0"/>
              <w:marRight w:val="0"/>
              <w:marTop w:val="0"/>
              <w:marBottom w:val="0"/>
              <w:divBdr>
                <w:top w:val="none" w:sz="0" w:space="0" w:color="auto"/>
                <w:left w:val="none" w:sz="0" w:space="0" w:color="auto"/>
                <w:bottom w:val="none" w:sz="0" w:space="0" w:color="auto"/>
                <w:right w:val="none" w:sz="0" w:space="0" w:color="auto"/>
              </w:divBdr>
              <w:divsChild>
                <w:div w:id="3110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a.futures.org/nfa-faqs/registration_faqs/general-registration-questions/which-individuals-are-considered-principal.HTML" TargetMode="External"/><Relationship Id="rId13" Type="http://schemas.openxmlformats.org/officeDocument/2006/relationships/hyperlink" Target="http://www.nfa.futures.org/nfamanual/NFAManual.aspx?RuleID=BYLAW%20301&amp;Section=3" TargetMode="External"/><Relationship Id="rId3" Type="http://schemas.openxmlformats.org/officeDocument/2006/relationships/settings" Target="settings.xml"/><Relationship Id="rId7" Type="http://schemas.openxmlformats.org/officeDocument/2006/relationships/hyperlink" Target="http://www.nfa.futures.org/nfa-faqs/registration_faqs/general-registration-questions/index.HTML" TargetMode="External"/><Relationship Id="rId12" Type="http://schemas.openxmlformats.org/officeDocument/2006/relationships/hyperlink" Target="http://www.cftc.gov/lawandregul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fa.futures.org/NFA-registration/principal/index.HTML" TargetMode="External"/><Relationship Id="rId11" Type="http://schemas.openxmlformats.org/officeDocument/2006/relationships/hyperlink" Target="http://www.nfa.futures.org/nfa-faqs/registration_faqs/general-registration-questions/which-companies-are-considered-principals.HTML" TargetMode="External"/><Relationship Id="rId5" Type="http://schemas.openxmlformats.org/officeDocument/2006/relationships/hyperlink" Target="http://www.nfa.futures.org/nfa-faqs/registration_faqs/general-registration-questions/index.HTML#q4" TargetMode="External"/><Relationship Id="rId15" Type="http://schemas.openxmlformats.org/officeDocument/2006/relationships/theme" Target="theme/theme1.xml"/><Relationship Id="rId10" Type="http://schemas.openxmlformats.org/officeDocument/2006/relationships/hyperlink" Target="http://www.nfa.futures.org/nfa-faqs/registration_faqs/general-registration-questions/index.HTML" TargetMode="External"/><Relationship Id="rId4" Type="http://schemas.openxmlformats.org/officeDocument/2006/relationships/webSettings" Target="webSettings.xml"/><Relationship Id="rId9" Type="http://schemas.openxmlformats.org/officeDocument/2006/relationships/hyperlink" Target="http://www.nfa.futures.org/NFA-registration/principal/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dcterms:created xsi:type="dcterms:W3CDTF">2012-06-01T05:58:00Z</dcterms:created>
  <dcterms:modified xsi:type="dcterms:W3CDTF">2012-06-01T05:58:00Z</dcterms:modified>
</cp:coreProperties>
</file>